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400"/>
        <w:jc w:val="center"/>
      </w:pPr>
      <w:r>
        <w:rPr>
          <w:b/>
          <w:bCs/>
          <w:color w:val="1E3A5F"/>
          <w:sz w:val="96"/>
          <w:szCs w:val="96"/>
        </w:rPr>
        <w:t xml:space="preserve">QRAMM</w:t>
      </w:r>
    </w:p>
    <w:p>
      <w:pPr>
        <w:spacing w:after="600"/>
        <w:jc w:val="center"/>
      </w:pPr>
      <w:r>
        <w:rPr>
          <w:color w:val="2D6A8A"/>
          <w:sz w:val="32"/>
          <w:szCs w:val="32"/>
        </w:rPr>
        <w:t xml:space="preserve">Quantum Readiness Assurance Maturity Model</w:t>
      </w:r>
    </w:p>
    <w:p>
      <w:pPr>
        <w:spacing w:before="400"/>
      </w:pPr>
    </w:p>
    <w:p>
      <w:pPr>
        <w:spacing w:after="200"/>
        <w:jc w:val="center"/>
      </w:pPr>
      <w:r>
        <w:rPr>
          <w:b/>
          <w:bCs/>
          <w:color w:val="1E3A5F"/>
          <w:sz w:val="48"/>
          <w:szCs w:val="48"/>
        </w:rPr>
        <w:t xml:space="preserve">Executive Assessment Report</w:t>
      </w:r>
    </w:p>
    <w:p>
      <w:pPr>
        <w:spacing w:before="800"/>
      </w:pPr>
    </w:p>
    <w:p>
      <w:pPr>
        <w:jc w:val="center"/>
      </w:pPr>
      <w:r>
        <w:rPr>
          <w:i/>
          <w:iCs/>
          <w:color w:val="2D6A8A"/>
          <w:sz w:val="36"/>
          <w:szCs w:val="36"/>
        </w:rPr>
        <w:t xml:space="preserve">[Organization Name]</w:t>
      </w:r>
    </w:p>
    <w:p>
      <w:pPr>
        <w:spacing w:before="400"/>
      </w:pPr>
    </w:p>
    <w:p>
      <w:pPr>
        <w:jc w:val="center"/>
      </w:pPr>
      <w:r>
        <w:rPr>
          <w:sz w:val="24"/>
          <w:szCs w:val="24"/>
        </w:rPr>
        <w:t xml:space="preserve">Assessment Date: [Date]</w:t>
      </w:r>
    </w:p>
    <w:p>
      <w:pPr>
        <w:jc w:val="center"/>
      </w:pPr>
      <w:r>
        <w:rPr>
          <w:sz w:val="24"/>
          <w:szCs w:val="24"/>
        </w:rPr>
        <w:t xml:space="preserve">Report Version: [1.0]</w:t>
      </w:r>
    </w:p>
    <w:p>
      <w:pPr>
        <w:spacing w:before="1000"/>
      </w:pPr>
    </w:p>
    <w:p>
      <w:pPr>
        <w:spacing w:after="100"/>
        <w:jc w:val="center"/>
      </w:pPr>
      <w:r>
        <w:rPr>
          <w:sz w:val="22"/>
          <w:szCs w:val="22"/>
        </w:rPr>
        <w:t xml:space="preserve">Prepared by:</w:t>
      </w:r>
    </w:p>
    <w:p>
      <w:pPr>
        <w:jc w:val="center"/>
      </w:pPr>
      <w:r>
        <w:rPr>
          <w:i/>
          <w:iCs/>
          <w:sz w:val="22"/>
          <w:szCs w:val="22"/>
        </w:rPr>
        <w:t xml:space="preserve">[Assessment Team/Consultant Name]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Executive Summary</w:t>
      </w:r>
    </w:p>
    <w:p>
      <w:pPr>
        <w:pStyle w:val="Heading2"/>
      </w:pPr>
      <w:r>
        <w:t xml:space="preserve">Assessment Overview</w:t>
      </w:r>
    </w:p>
    <w:p>
      <w:pPr>
        <w:spacing w:after="200"/>
      </w:pPr>
      <w:r>
        <w:t xml:space="preserve">[Provide a high-level summary of the quantum readiness assessment, including the scope, methodology, and key participants. This should be 2-3 paragraphs that give executives a quick understanding of what was assessed and how.]</w:t>
      </w:r>
    </w:p>
    <w:p>
      <w:pPr>
        <w:pStyle w:val="Heading2"/>
      </w:pPr>
      <w:r>
        <w:t xml:space="preserve">Overall Maturity Score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Overall QRAMM Score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Maturity Level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  <w:color w:val="2D6A8A"/>
                <w:sz w:val="32"/>
                <w:szCs w:val="32"/>
              </w:rPr>
              <w:t xml:space="preserve">[X.X / 5.0]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i/>
                <w:iCs/>
                <w:sz w:val="24"/>
                <w:szCs w:val="24"/>
              </w:rPr>
              <w:t xml:space="preserve">[Basic/Developing/Established/Advanced/Optimizing]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Key Findings</w:t>
      </w:r>
    </w:p>
    <w:p>
      <w:pPr>
        <w:pStyle w:val="ListParagraph"/>
        <w:numPr>
          <w:ilvl w:val="0"/>
          <w:numId w:val="2"/>
        </w:numPr>
      </w:pPr>
      <w:r>
        <w:t xml:space="preserve">[Key finding 1 - highlight a critical strength or gap]</w:t>
      </w:r>
    </w:p>
    <w:p>
      <w:pPr>
        <w:pStyle w:val="ListParagraph"/>
        <w:numPr>
          <w:ilvl w:val="0"/>
          <w:numId w:val="2"/>
        </w:numPr>
      </w:pPr>
      <w:r>
        <w:t xml:space="preserve">[Key finding 2 - highlight another significant observation]</w:t>
      </w:r>
    </w:p>
    <w:p>
      <w:pPr>
        <w:pStyle w:val="ListParagraph"/>
        <w:numPr>
          <w:ilvl w:val="0"/>
          <w:numId w:val="2"/>
        </w:numPr>
      </w:pPr>
      <w:r>
        <w:t xml:space="preserve">[Key finding 3 - note any urgent concerns or opportunities]</w:t>
      </w:r>
    </w:p>
    <w:p>
      <w:pPr>
        <w:pStyle w:val="ListParagraph"/>
        <w:numPr>
          <w:ilvl w:val="0"/>
          <w:numId w:val="2"/>
        </w:numPr>
      </w:pPr>
      <w:r>
        <w:t xml:space="preserve">[Key finding 4 - include compliance or risk implications]</w:t>
      </w:r>
    </w:p>
    <w:p>
      <w:r>
        <w:br w:type="page"/>
      </w:r>
    </w:p>
    <w:p>
      <w:pPr>
        <w:pStyle w:val="Heading1"/>
      </w:pPr>
      <w:r>
        <w:t xml:space="preserve">2. Detailed Assessment Results</w:t>
      </w:r>
    </w:p>
    <w:p>
      <w:pPr>
        <w:pStyle w:val="Heading2"/>
      </w:pPr>
      <w:r>
        <w:t xml:space="preserve">Dimension Scores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186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Dimension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Score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Target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Gap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CVI - Cryptographic Visibility &amp; Inventory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SGRM - Strategic Governance &amp; Risk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DPE - Data Protection Engineering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ITR - Implementation &amp; Technical Readiness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[X.X]</w:t>
            </w:r>
          </w:p>
        </w:tc>
      </w:tr>
    </w:tbl>
    <w:p>
      <w:pPr>
        <w:pStyle w:val="Heading2"/>
        <w:spacing w:before="300"/>
      </w:pPr>
      <w:r>
        <w:t xml:space="preserve">Dimension 1: Cryptographic Visibility &amp; Inventory (CVI)</w:t>
      </w:r>
    </w:p>
    <w:p>
      <w:r>
        <w:t xml:space="preserve">[Provide analysis of CVI dimension performance. Discuss practice scores for Discovery &amp; Inventory Management, Vulnerability Assessment &amp; Classification, and Cryptographic Dependency Mapping. Highlight strengths and areas needing improvement.]</w:t>
      </w:r>
    </w:p>
    <w:p>
      <w:pPr>
        <w:pStyle w:val="Heading2"/>
        <w:spacing w:before="200"/>
      </w:pPr>
      <w:r>
        <w:t xml:space="preserve">Dimension 2: Strategic Governance &amp; Risk Management (SGRM)</w:t>
      </w:r>
    </w:p>
    <w:p>
      <w:r>
        <w:t xml:space="preserve">[Provide analysis of SGRM dimension. Cover Executive Leadership &amp; Policy Management, Risk Assessment &amp; Compliance Management, and Third-Party &amp; Supply Chain Risk Management practices.]</w:t>
      </w:r>
    </w:p>
    <w:p>
      <w:pPr>
        <w:pStyle w:val="Heading2"/>
        <w:spacing w:before="200"/>
      </w:pPr>
      <w:r>
        <w:t xml:space="preserve">Dimension 3: Data Protection Engineering (DPE)</w:t>
      </w:r>
    </w:p>
    <w:p>
      <w:r>
        <w:t xml:space="preserve">[Analyze DPE practices including Data Classification &amp; Protection Requirements, Storage Security &amp; Encryption Management, and Transit Security &amp; Protocol Management.]</w:t>
      </w:r>
    </w:p>
    <w:p>
      <w:pPr>
        <w:pStyle w:val="Heading2"/>
        <w:spacing w:before="200"/>
      </w:pPr>
      <w:r>
        <w:t xml:space="preserve">Dimension 4: Implementation &amp; Technical Readiness (ITR)</w:t>
      </w:r>
    </w:p>
    <w:p>
      <w:r>
        <w:t xml:space="preserve">[Discuss ITR dimension covering Infrastructure Assessment &amp; Planning, Implementation Capability Development, and Testing &amp; Validation Capabilities.]</w:t>
      </w:r>
    </w:p>
    <w:p>
      <w:r>
        <w:br w:type="page"/>
      </w:r>
    </w:p>
    <w:p>
      <w:pPr>
        <w:pStyle w:val="Heading1"/>
      </w:pPr>
      <w:r>
        <w:t xml:space="preserve">3. Business Impact &amp; Risk Assessment</w:t>
      </w:r>
    </w:p>
    <w:p>
      <w:pPr>
        <w:pStyle w:val="Heading2"/>
      </w:pPr>
      <w:r>
        <w:t xml:space="preserve">Quantum Risk Exposure</w:t>
      </w:r>
    </w:p>
    <w:p>
      <w:r>
        <w:t xml:space="preserve">[Describe the organization's exposure to quantum computing threats. Include timeline considerations based on data sensitivity and retention periods. Discuss "harvest now, decrypt later" risks for sensitive data.]</w:t>
      </w:r>
    </w:p>
    <w:p>
      <w:pPr>
        <w:pStyle w:val="Heading2"/>
        <w:spacing w:before="200"/>
      </w:pPr>
      <w:r>
        <w:t xml:space="preserve">Business Continuity Implications</w:t>
      </w:r>
    </w:p>
    <w:p>
      <w:r>
        <w:t xml:space="preserve">[Outline potential business impacts if quantum readiness is not addressed. Include regulatory compliance risks, competitive positioning, and operational continuity concerns.]</w:t>
      </w:r>
    </w:p>
    <w:p>
      <w:pPr>
        <w:pStyle w:val="Heading2"/>
        <w:spacing w:before="200"/>
      </w:pPr>
      <w:r>
        <w:t xml:space="preserve">Regulatory &amp; Compliance Considerations</w:t>
      </w:r>
    </w:p>
    <w:p>
      <w:r>
        <w:t xml:space="preserve">[List relevant regulatory requirements and emerging standards that mandate post-quantum cryptography planning. Include NIST PQC standards, industry-specific regulations, and government mandates.]</w:t>
      </w:r>
    </w:p>
    <w:p>
      <w:r>
        <w:br w:type="page"/>
      </w:r>
    </w:p>
    <w:p>
      <w:pPr>
        <w:pStyle w:val="Heading1"/>
      </w:pPr>
      <w:r>
        <w:t xml:space="preserve">4. Strategic Recommendations</w:t>
      </w:r>
    </w:p>
    <w:p>
      <w:pPr>
        <w:pStyle w:val="Heading2"/>
      </w:pPr>
      <w:r>
        <w:t xml:space="preserve">Immediate Actions (0-90 Days)</w:t>
      </w:r>
    </w:p>
    <w:p>
      <w:pPr>
        <w:pStyle w:val="ListParagraph"/>
        <w:numPr>
          <w:ilvl w:val="0"/>
          <w:numId w:val="3"/>
        </w:numPr>
      </w:pPr>
      <w:r>
        <w:t xml:space="preserve">[Immediate action 1 - e.g., Complete cryptographic asset discovery for critical systems]</w:t>
      </w:r>
    </w:p>
    <w:p>
      <w:pPr>
        <w:pStyle w:val="ListParagraph"/>
        <w:numPr>
          <w:ilvl w:val="0"/>
          <w:numId w:val="3"/>
        </w:numPr>
      </w:pPr>
      <w:r>
        <w:t xml:space="preserve">[Immediate action 2 - e.g., Establish quantum readiness governance committee]</w:t>
      </w:r>
    </w:p>
    <w:p>
      <w:pPr>
        <w:pStyle w:val="ListParagraph"/>
        <w:numPr>
          <w:ilvl w:val="0"/>
          <w:numId w:val="3"/>
        </w:numPr>
      </w:pPr>
      <w:r>
        <w:t xml:space="preserve">[Immediate action 3 - e.g., Assess vendor quantum readiness for critical suppliers]</w:t>
      </w:r>
    </w:p>
    <w:p>
      <w:pPr>
        <w:pStyle w:val="Heading2"/>
        <w:spacing w:before="200"/>
      </w:pPr>
      <w:r>
        <w:t xml:space="preserve">Short-Term Initiatives (90 Days - 1 Year)</w:t>
      </w:r>
    </w:p>
    <w:p>
      <w:pPr>
        <w:pStyle w:val="ListParagraph"/>
        <w:numPr>
          <w:ilvl w:val="0"/>
          <w:numId w:val="2"/>
        </w:numPr>
      </w:pPr>
      <w:r>
        <w:t xml:space="preserve">[Short-term initiative 1 - e.g., Develop comprehensive cryptographic migration roadmap]</w:t>
      </w:r>
    </w:p>
    <w:p>
      <w:pPr>
        <w:pStyle w:val="ListParagraph"/>
        <w:numPr>
          <w:ilvl w:val="0"/>
          <w:numId w:val="2"/>
        </w:numPr>
      </w:pPr>
      <w:r>
        <w:t xml:space="preserve">[Short-term initiative 2 - e.g., Implement crypto-agility in new system designs]</w:t>
      </w:r>
    </w:p>
    <w:p>
      <w:pPr>
        <w:pStyle w:val="ListParagraph"/>
        <w:numPr>
          <w:ilvl w:val="0"/>
          <w:numId w:val="2"/>
        </w:numPr>
      </w:pPr>
      <w:r>
        <w:t xml:space="preserve">[Short-term initiative 3 - e.g., Begin pilot implementations of PQC algorithms]</w:t>
      </w:r>
    </w:p>
    <w:p>
      <w:pPr>
        <w:pStyle w:val="Heading2"/>
        <w:spacing w:before="200"/>
      </w:pPr>
      <w:r>
        <w:t xml:space="preserve">Long-Term Strategy (1-3 Years)</w:t>
      </w:r>
    </w:p>
    <w:p>
      <w:pPr>
        <w:pStyle w:val="ListParagraph"/>
        <w:numPr>
          <w:ilvl w:val="0"/>
          <w:numId w:val="2"/>
        </w:numPr>
      </w:pPr>
      <w:r>
        <w:t xml:space="preserve">[Long-term goal 1 - e.g., Complete migration of high-priority systems to quantum-resistant algorithms]</w:t>
      </w:r>
    </w:p>
    <w:p>
      <w:pPr>
        <w:pStyle w:val="ListParagraph"/>
        <w:numPr>
          <w:ilvl w:val="0"/>
          <w:numId w:val="2"/>
        </w:numPr>
      </w:pPr>
      <w:r>
        <w:t xml:space="preserve">[Long-term goal 2 - e.g., Achieve target maturity level across all QRAMM dimensions]</w:t>
      </w:r>
    </w:p>
    <w:p>
      <w:pPr>
        <w:pStyle w:val="ListParagraph"/>
        <w:numPr>
          <w:ilvl w:val="0"/>
          <w:numId w:val="2"/>
        </w:numPr>
      </w:pPr>
      <w:r>
        <w:t xml:space="preserve">[Long-term goal 3 - e.g., Establish continuous quantum readiness monitoring and improvement]</w:t>
      </w:r>
    </w:p>
    <w:p>
      <w:r>
        <w:br w:type="page"/>
      </w:r>
    </w:p>
    <w:p>
      <w:pPr>
        <w:pStyle w:val="Heading1"/>
      </w:pPr>
      <w:r>
        <w:t xml:space="preserve">5. Resource Requirements</w:t>
      </w:r>
    </w:p>
    <w:p>
      <w:pPr>
        <w:pStyle w:val="Heading2"/>
      </w:pPr>
      <w:r>
        <w:t xml:space="preserve">Budget Estimates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Initiative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Estimated Cost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Timeline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[Initiative 1]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$[XXX,XXX]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[Q1-Q2 20XX]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[Initiative 2]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$[XXX,XXX]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[Q2-Q4 20XX]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[Initiative 3]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$[XXX,XXX]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[20XX-20XX]</w:t>
            </w:r>
          </w:p>
        </w:tc>
      </w:tr>
    </w:tbl>
    <w:p>
      <w:pPr>
        <w:pStyle w:val="Heading2"/>
        <w:spacing w:before="200"/>
      </w:pPr>
      <w:r>
        <w:t xml:space="preserve">Personnel &amp; Skills</w:t>
      </w:r>
    </w:p>
    <w:p>
      <w:r>
        <w:t xml:space="preserve">[Describe staffing requirements including new roles, skill development needs, and potential external expertise required. Include considerations for cryptography specialists, security architects, and project managers.]</w:t>
      </w:r>
    </w:p>
    <w:p>
      <w:r>
        <w:br w:type="page"/>
      </w:r>
    </w:p>
    <w:p>
      <w:pPr>
        <w:pStyle w:val="Heading1"/>
      </w:pPr>
      <w:r>
        <w:t xml:space="preserve">6. Implementation Roadmap</w:t>
      </w:r>
    </w:p>
    <w:p>
      <w:pPr>
        <w:pStyle w:val="Heading2"/>
      </w:pPr>
      <w:r>
        <w:t xml:space="preserve">Phase 1: Foundation (Months 1-3)</w:t>
      </w:r>
    </w:p>
    <w:p>
      <w:pPr>
        <w:pStyle w:val="ListParagraph"/>
        <w:numPr>
          <w:ilvl w:val="0"/>
          <w:numId w:val="2"/>
        </w:numPr>
      </w:pPr>
      <w:r>
        <w:t xml:space="preserve">[Foundation milestone 1]</w:t>
      </w:r>
    </w:p>
    <w:p>
      <w:pPr>
        <w:pStyle w:val="ListParagraph"/>
        <w:numPr>
          <w:ilvl w:val="0"/>
          <w:numId w:val="2"/>
        </w:numPr>
      </w:pPr>
      <w:r>
        <w:t xml:space="preserve">[Foundation milestone 2]</w:t>
      </w:r>
    </w:p>
    <w:p>
      <w:pPr>
        <w:pStyle w:val="ListParagraph"/>
        <w:numPr>
          <w:ilvl w:val="0"/>
          <w:numId w:val="2"/>
        </w:numPr>
      </w:pPr>
      <w:r>
        <w:t xml:space="preserve">[Foundation milestone 3]</w:t>
      </w:r>
    </w:p>
    <w:p>
      <w:pPr>
        <w:pStyle w:val="Heading2"/>
        <w:spacing w:before="200"/>
      </w:pPr>
      <w:r>
        <w:t xml:space="preserve">Phase 2: Development (Months 4-9)</w:t>
      </w:r>
    </w:p>
    <w:p>
      <w:pPr>
        <w:pStyle w:val="ListParagraph"/>
        <w:numPr>
          <w:ilvl w:val="0"/>
          <w:numId w:val="2"/>
        </w:numPr>
      </w:pPr>
      <w:r>
        <w:t xml:space="preserve">[Development milestone 1]</w:t>
      </w:r>
    </w:p>
    <w:p>
      <w:pPr>
        <w:pStyle w:val="ListParagraph"/>
        <w:numPr>
          <w:ilvl w:val="0"/>
          <w:numId w:val="2"/>
        </w:numPr>
      </w:pPr>
      <w:r>
        <w:t xml:space="preserve">[Development milestone 2]</w:t>
      </w:r>
    </w:p>
    <w:p>
      <w:pPr>
        <w:pStyle w:val="ListParagraph"/>
        <w:numPr>
          <w:ilvl w:val="0"/>
          <w:numId w:val="2"/>
        </w:numPr>
      </w:pPr>
      <w:r>
        <w:t xml:space="preserve">[Development milestone 3]</w:t>
      </w:r>
    </w:p>
    <w:p>
      <w:pPr>
        <w:pStyle w:val="Heading2"/>
        <w:spacing w:before="200"/>
      </w:pPr>
      <w:r>
        <w:t xml:space="preserve">Phase 3: Implementation (Months 10-18)</w:t>
      </w:r>
    </w:p>
    <w:p>
      <w:pPr>
        <w:pStyle w:val="ListParagraph"/>
        <w:numPr>
          <w:ilvl w:val="0"/>
          <w:numId w:val="2"/>
        </w:numPr>
      </w:pPr>
      <w:r>
        <w:t xml:space="preserve">[Implementation milestone 1]</w:t>
      </w:r>
    </w:p>
    <w:p>
      <w:pPr>
        <w:pStyle w:val="ListParagraph"/>
        <w:numPr>
          <w:ilvl w:val="0"/>
          <w:numId w:val="2"/>
        </w:numPr>
      </w:pPr>
      <w:r>
        <w:t xml:space="preserve">[Implementation milestone 2]</w:t>
      </w:r>
    </w:p>
    <w:p>
      <w:pPr>
        <w:pStyle w:val="ListParagraph"/>
        <w:numPr>
          <w:ilvl w:val="0"/>
          <w:numId w:val="2"/>
        </w:numPr>
      </w:pPr>
      <w:r>
        <w:t xml:space="preserve">[Implementation milestone 3]</w:t>
      </w:r>
    </w:p>
    <w:p>
      <w:pPr>
        <w:pStyle w:val="Heading2"/>
        <w:spacing w:before="200"/>
      </w:pPr>
      <w:r>
        <w:t xml:space="preserve">Phase 4: Optimization (Months 18+)</w:t>
      </w:r>
    </w:p>
    <w:p>
      <w:pPr>
        <w:pStyle w:val="ListParagraph"/>
        <w:numPr>
          <w:ilvl w:val="0"/>
          <w:numId w:val="2"/>
        </w:numPr>
      </w:pPr>
      <w:r>
        <w:t xml:space="preserve">[Optimization milestone 1]</w:t>
      </w:r>
    </w:p>
    <w:p>
      <w:pPr>
        <w:pStyle w:val="ListParagraph"/>
        <w:numPr>
          <w:ilvl w:val="0"/>
          <w:numId w:val="2"/>
        </w:numPr>
      </w:pPr>
      <w:r>
        <w:t xml:space="preserve">[Optimization milestone 2]</w:t>
      </w:r>
    </w:p>
    <w:p>
      <w:pPr>
        <w:pStyle w:val="ListParagraph"/>
        <w:numPr>
          <w:ilvl w:val="0"/>
          <w:numId w:val="2"/>
        </w:numPr>
      </w:pPr>
      <w:r>
        <w:t xml:space="preserve">[Optimization milestone 3]</w:t>
      </w:r>
    </w:p>
    <w:p>
      <w:r>
        <w:br w:type="page"/>
      </w:r>
    </w:p>
    <w:p>
      <w:pPr>
        <w:pStyle w:val="Heading1"/>
      </w:pPr>
      <w:r>
        <w:t xml:space="preserve">7. Governance &amp; Oversight</w:t>
      </w:r>
    </w:p>
    <w:p>
      <w:pPr>
        <w:pStyle w:val="Heading2"/>
      </w:pPr>
      <w:r>
        <w:t xml:space="preserve">Recommended Governance Structure</w:t>
      </w:r>
    </w:p>
    <w:p>
      <w:r>
        <w:t xml:space="preserve">[Describe the recommended governance structure for quantum readiness initiatives. Include executive sponsorship, steering committee composition, and operational working groups.]</w:t>
      </w:r>
    </w:p>
    <w:p>
      <w:pPr>
        <w:pStyle w:val="Heading2"/>
        <w:spacing w:before="200"/>
      </w:pPr>
      <w:r>
        <w:t xml:space="preserve">Key Performance Indicators (KPIs)</w:t>
      </w:r>
    </w:p>
    <w:p>
      <w:pPr>
        <w:pStyle w:val="ListParagraph"/>
        <w:numPr>
          <w:ilvl w:val="0"/>
          <w:numId w:val="2"/>
        </w:numPr>
      </w:pPr>
      <w:r>
        <w:t xml:space="preserve">[KPI 1 - e.g., Percentage of cryptographic assets inventoried]</w:t>
      </w:r>
    </w:p>
    <w:p>
      <w:pPr>
        <w:pStyle w:val="ListParagraph"/>
        <w:numPr>
          <w:ilvl w:val="0"/>
          <w:numId w:val="2"/>
        </w:numPr>
      </w:pPr>
      <w:r>
        <w:t xml:space="preserve">[KPI 2 - e.g., Number of systems migrated to quantum-resistant algorithms]</w:t>
      </w:r>
    </w:p>
    <w:p>
      <w:pPr>
        <w:pStyle w:val="ListParagraph"/>
        <w:numPr>
          <w:ilvl w:val="0"/>
          <w:numId w:val="2"/>
        </w:numPr>
      </w:pPr>
      <w:r>
        <w:t xml:space="preserve">[KPI 3 - e.g., Vendor quantum readiness assessment completion rate]</w:t>
      </w:r>
    </w:p>
    <w:p>
      <w:pPr>
        <w:pStyle w:val="ListParagraph"/>
        <w:numPr>
          <w:ilvl w:val="0"/>
          <w:numId w:val="2"/>
        </w:numPr>
      </w:pPr>
      <w:r>
        <w:t xml:space="preserve">[KPI 4 - e.g., Staff training completion percentage]</w:t>
      </w:r>
    </w:p>
    <w:p>
      <w:pPr>
        <w:pStyle w:val="Heading2"/>
        <w:spacing w:before="200"/>
      </w:pPr>
      <w:r>
        <w:t xml:space="preserve">Reporting Cadence</w:t>
      </w:r>
    </w:p>
    <w:p>
      <w:r>
        <w:t xml:space="preserve">[Define reporting frequency and format for different stakeholder levels. Include executive briefings, steering committee updates, and operational status reports.]</w:t>
      </w:r>
    </w:p>
    <w:p>
      <w:r>
        <w:br w:type="page"/>
      </w:r>
    </w:p>
    <w:p>
      <w:pPr>
        <w:pStyle w:val="Heading1"/>
      </w:pPr>
      <w:r>
        <w:t xml:space="preserve">8. Competitive &amp; Industry Context</w:t>
      </w:r>
    </w:p>
    <w:p>
      <w:pPr>
        <w:pStyle w:val="Heading2"/>
      </w:pPr>
      <w:r>
        <w:t xml:space="preserve">Industry Benchmark Comparison</w:t>
      </w:r>
    </w:p>
    <w:p>
      <w:r>
        <w:t xml:space="preserve">[Compare the organization's quantum readiness against industry peers and benchmarks. Include maturity level comparisons and identification of competitive advantages or gaps.]</w:t>
      </w:r>
    </w:p>
    <w:p>
      <w:pPr>
        <w:pStyle w:val="Heading2"/>
        <w:spacing w:before="200"/>
      </w:pPr>
      <w:r>
        <w:t xml:space="preserve">Emerging Standards &amp; Regulations</w:t>
      </w:r>
    </w:p>
    <w:p>
      <w:r>
        <w:t xml:space="preserve">[Summarize relevant emerging standards including NIST post-quantum cryptography standards, industry-specific requirements, and international regulations that may impact the organization.]</w:t>
      </w:r>
    </w:p>
    <w:p>
      <w:r>
        <w:br w:type="page"/>
      </w:r>
    </w:p>
    <w:p>
      <w:pPr>
        <w:pStyle w:val="Heading1"/>
      </w:pPr>
      <w:r>
        <w:t xml:space="preserve">9. Next Steps</w:t>
      </w:r>
    </w:p>
    <w:p>
      <w:pPr>
        <w:pStyle w:val="Heading2"/>
      </w:pPr>
      <w:r>
        <w:t xml:space="preserve">Immediate Actions Required</w:t>
      </w:r>
    </w:p>
    <w:p>
      <w:pPr>
        <w:pStyle w:val="ListParagraph"/>
        <w:numPr>
          <w:ilvl w:val="0"/>
          <w:numId w:val="4"/>
        </w:numPr>
      </w:pPr>
      <w:r>
        <w:t xml:space="preserve">[Immediate action with owner and due date]</w:t>
      </w:r>
    </w:p>
    <w:p>
      <w:pPr>
        <w:pStyle w:val="ListParagraph"/>
        <w:numPr>
          <w:ilvl w:val="0"/>
          <w:numId w:val="4"/>
        </w:numPr>
      </w:pPr>
      <w:r>
        <w:t xml:space="preserve">[Immediate action with owner and due date]</w:t>
      </w:r>
    </w:p>
    <w:p>
      <w:pPr>
        <w:pStyle w:val="ListParagraph"/>
        <w:numPr>
          <w:ilvl w:val="0"/>
          <w:numId w:val="4"/>
        </w:numPr>
      </w:pPr>
      <w:r>
        <w:t xml:space="preserve">[Immediate action with owner and due date]</w:t>
      </w:r>
    </w:p>
    <w:p>
      <w:pPr>
        <w:pStyle w:val="Heading2"/>
        <w:spacing w:before="200"/>
      </w:pPr>
      <w:r>
        <w:t xml:space="preserve">Recommended Reassessment Timeline</w:t>
      </w:r>
    </w:p>
    <w:p>
      <w:r>
        <w:t xml:space="preserve">[Specify when the next QRAMM assessment should be conducted, typically 6-12 months after initial assessment to measure progress against recommendations.]</w:t>
      </w:r>
    </w:p>
    <w:p>
      <w:pPr>
        <w:pStyle w:val="Heading2"/>
        <w:spacing w:before="200"/>
      </w:pPr>
      <w:r>
        <w:t xml:space="preserve">Support &amp; Resources</w:t>
      </w:r>
    </w:p>
    <w:p>
      <w:r>
        <w:t xml:space="preserve">For questions about this assessment or the QRAMM framework, contact:</w:t>
      </w:r>
    </w:p>
    <w:p>
      <w:pPr>
        <w:pStyle w:val="ListParagraph"/>
        <w:numPr>
          <w:ilvl w:val="0"/>
          <w:numId w:val="2"/>
        </w:numPr>
      </w:pPr>
      <w:r>
        <w:t xml:space="preserve">QRAMM Framework: qramm@csnp.org</w:t>
      </w:r>
    </w:p>
    <w:p>
      <w:pPr>
        <w:pStyle w:val="ListParagraph"/>
        <w:numPr>
          <w:ilvl w:val="0"/>
          <w:numId w:val="2"/>
        </w:numPr>
      </w:pPr>
      <w:r>
        <w:t xml:space="preserve">Documentation: https://qramm.org</w:t>
      </w:r>
    </w:p>
    <w:p>
      <w:pPr>
        <w:pStyle w:val="ListParagraph"/>
        <w:numPr>
          <w:ilvl w:val="0"/>
          <w:numId w:val="2"/>
        </w:numPr>
      </w:pPr>
      <w:r>
        <w:t xml:space="preserve">Community: https://github.com/csnp/qramm</w:t>
      </w:r>
    </w:p>
    <w:p>
      <w:r>
        <w:br w:type="page"/>
      </w:r>
    </w:p>
    <w:p>
      <w:pPr>
        <w:pStyle w:val="Heading1"/>
      </w:pPr>
      <w:r>
        <w:t xml:space="preserve">10. Appendices</w:t>
      </w:r>
    </w:p>
    <w:p>
      <w:pPr>
        <w:pStyle w:val="Heading2"/>
      </w:pPr>
      <w:r>
        <w:t xml:space="preserve">Appendix A: Detailed Practice Scores</w:t>
      </w:r>
    </w:p>
    <w:p>
      <w:r>
        <w:t xml:space="preserve">[Include detailed scoring breakdown for all 12 practices across 4 dimensions]</w:t>
      </w:r>
    </w:p>
    <w:p>
      <w:pPr>
        <w:pStyle w:val="Heading2"/>
        <w:spacing w:before="200"/>
      </w:pPr>
      <w:r>
        <w:t xml:space="preserve">Appendix B: Assessment Methodology</w:t>
      </w:r>
    </w:p>
    <w:p>
      <w:r>
        <w:t xml:space="preserve">[Describe the assessment methodology, scoring criteria, and evidence evaluation approach used]</w:t>
      </w:r>
    </w:p>
    <w:p>
      <w:pPr>
        <w:pStyle w:val="Heading2"/>
        <w:spacing w:before="200"/>
      </w:pPr>
      <w:r>
        <w:t xml:space="preserve">Appendix C: Glossary of Terms</w:t>
      </w:r>
    </w:p>
    <w:p>
      <w:r>
        <w:t xml:space="preserve">[Include definitions of key quantum computing and cryptography terms used in this report]</w:t>
      </w:r>
    </w:p>
    <w:p>
      <w:pPr>
        <w:pStyle w:val="Heading2"/>
        <w:spacing w:before="200"/>
      </w:pPr>
      <w:r>
        <w:t xml:space="preserve">Appendix D: References &amp; Resources</w:t>
      </w:r>
    </w:p>
    <w:p>
      <w:r>
        <w:t xml:space="preserve">[List relevant NIST publications, industry standards, and additional resources for further reading]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8"/>
        <w:szCs w:val="18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QRAMM Executive Report - [Organization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E3A5F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D6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2025-12-25T08:48:43.331Z</dcterms:created>
  <dcterms:modified xsi:type="dcterms:W3CDTF">2025-12-25T08:48:43.332Z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