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spacing w:after="200"/>
        <w:jc w:val="center"/>
      </w:pPr>
      <w:r>
        <w:rPr>
          <w:b/>
          <w:bCs/>
          <w:color w:val="1E3A5F"/>
          <w:sz w:val="72"/>
          <w:szCs w:val="72"/>
        </w:rPr>
        <w:t xml:space="preserve">QRAMM</w:t>
      </w:r>
    </w:p>
    <w:p>
      <w:pPr>
        <w:spacing w:after="400"/>
        <w:jc w:val="center"/>
      </w:pPr>
      <w:r>
        <w:rPr>
          <w:b/>
          <w:bCs/>
          <w:color w:val="2D6A8A"/>
          <w:sz w:val="36"/>
          <w:szCs w:val="36"/>
        </w:rPr>
        <w:t xml:space="preserve">Vendor Quantum Readiness Questionnaire</w:t>
      </w:r>
    </w:p>
    <w:p>
      <w:pPr>
        <w:spacing w:before="600"/>
      </w:pPr>
    </w:p>
    <w:p>
      <w:pPr>
        <w:jc w:val="center"/>
      </w:pPr>
      <w:r>
        <w:rPr>
          <w:sz w:val="28"/>
          <w:szCs w:val="28"/>
        </w:rPr>
        <w:t xml:space="preserve">Third-Party Assessment Template</w:t>
      </w:r>
    </w:p>
    <w:p>
      <w:pPr>
        <w:spacing w:before="6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</w:rPr>
              <w:t xml:space="preserve">Vendor Name: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</w:rPr>
              <w:t xml:space="preserve">Services/Products: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</w:rPr>
              <w:t xml:space="preserve">Contact Person: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</w:rPr>
              <w:t xml:space="preserve">Date Completed: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</w:tbl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Instructions</w:t>
      </w:r>
    </w:p>
    <w:p>
      <w:pPr>
        <w:spacing w:after="200"/>
      </w:pPr>
      <w:r>
        <w:t xml:space="preserve">This questionnaire assesses vendor readiness for post-quantum cryptography transitions. Vendors should complete all sections relevant to their services. Responses help evaluate quantum risk across our supply chain.</w:t>
      </w:r>
    </w:p>
    <w:p>
      <w:pPr>
        <w:pStyle w:val="Heading2"/>
      </w:pPr>
      <w:r>
        <w:t xml:space="preserve">Rating Scale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Not Started (1): </w:t>
      </w:r>
      <w:r>
        <w:t xml:space="preserve">No awareness or planning for quantum threats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Aware (2): </w:t>
      </w:r>
      <w:r>
        <w:t xml:space="preserve">Aware of quantum threats but no formal planning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Planning (3): </w:t>
      </w:r>
      <w:r>
        <w:t xml:space="preserve">Formal planning underway for quantum readiness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Implementing (4): </w:t>
      </w:r>
      <w:r>
        <w:t xml:space="preserve">Actively implementing quantum-safe measures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Mature (5): </w:t>
      </w:r>
      <w:r>
        <w:t xml:space="preserve">Comprehensive quantum-ready capabilities deployed</w:t>
      </w:r>
    </w:p>
    <w:p>
      <w:r>
        <w:br w:type="page"/>
      </w:r>
    </w:p>
    <w:p>
      <w:pPr>
        <w:pStyle w:val="Heading1"/>
      </w:pPr>
      <w:r>
        <w:t xml:space="preserve">Section 1: Cryptographic Visibility &amp; Inventory</w:t>
      </w:r>
    </w:p>
    <w:p>
      <w:pPr>
        <w:spacing w:after="200"/>
      </w:pPr>
      <w:r>
        <w:t xml:space="preserve">Questions about your organization's understanding and documentation of cryptographic assets.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1. Do you maintain an inventory of cryptographic algorithms and implementations used in your products/services?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Include TLS/SSL configurations, encryption libraries, key management systems, and certificate infrastructure.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2. Have you identified which cryptographic assets are vulnerable to quantum computing attacks?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Specifically RSA, ECC, DH, and other asymmetric algorithms vulnerable to Shor's algorithm.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3. Do you track cryptographic dependencies across your software supply chain?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Include third-party libraries, open-source components, and vendor dependencies.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4. How do you monitor for cryptographic vulnerabilities and updates?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Describe processes for tracking CVEs, library updates, and cryptographic deprecations.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r>
        <w:br w:type="page"/>
      </w:r>
    </w:p>
    <w:p>
      <w:pPr>
        <w:pStyle w:val="Heading1"/>
      </w:pPr>
      <w:r>
        <w:t xml:space="preserve">Section 2: Strategic Governance &amp; Risk Management</w:t>
      </w:r>
    </w:p>
    <w:p>
      <w:pPr>
        <w:spacing w:after="200"/>
      </w:pPr>
      <w:r>
        <w:t xml:space="preserve">Questions about leadership commitment and risk management for quantum threats.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5. Does your organization have executive-level oversight for quantum security planning?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Indicate if quantum risk is discussed at board/C-level and who owns the quantum readiness program.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6. Do you have a documented quantum readiness strategy or roadmap?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Describe timeline, milestones, and resource allocation for post-quantum transition.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7. How do you assess and communicate quantum risk to stakeholders?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Include risk assessment methodology and stakeholder communication processes.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8. Do you have policies for cryptographic algorithm selection and lifecycle management?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Describe policies for approving, deploying, and retiring cryptographic algorithms.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r>
        <w:br w:type="page"/>
      </w:r>
    </w:p>
    <w:p>
      <w:pPr>
        <w:pStyle w:val="Heading1"/>
      </w:pPr>
      <w:r>
        <w:t xml:space="preserve">Section 3: Data Protection Engineering</w:t>
      </w:r>
    </w:p>
    <w:p>
      <w:pPr>
        <w:spacing w:after="200"/>
      </w:pPr>
      <w:r>
        <w:t xml:space="preserve">Questions about data protection practices and quantum-safe implementations.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9. How do you classify data based on sensitivity and quantum risk exposure?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Consider data retention periods and 'harvest now, decrypt later' attack scenarios.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10. What encryption standards do you use for data at rest?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List algorithms, key sizes, and any quantum-safe implementations in use or planned.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11. What encryption standards do you use for data in transit?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Include TLS versions, cipher suites, and certificate algorithms.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12. Are you implementing or planning to implement post-quantum cryptographic algorithms?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Specify which NIST PQC standards (ML-KEM, ML-DSA, SLH-DSA) are being evaluated or deployed.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r>
        <w:br w:type="page"/>
      </w:r>
    </w:p>
    <w:p>
      <w:pPr>
        <w:pStyle w:val="Heading1"/>
      </w:pPr>
      <w:r>
        <w:t xml:space="preserve">Section 4: Implementation &amp; Technical Readiness</w:t>
      </w:r>
    </w:p>
    <w:p>
      <w:pPr>
        <w:spacing w:after="200"/>
      </w:pPr>
      <w:r>
        <w:t xml:space="preserve">Questions about technical capabilities for cryptographic transitions.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13. Does your infrastructure support cryptographic agility?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Can algorithms be updated without major system changes? Describe upgrade paths.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14. Have you tested post-quantum cryptographic algorithms in your environment?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Describe any pilot implementations, performance testing, or compatibility assessments.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15. What is your timeline for transitioning to quantum-safe cryptography?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Provide estimated dates for key milestones in your PQC transition.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16. How do you ensure cryptographic implementations are correctly deployed?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Include testing, validation, and certification processes.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r>
        <w:br w:type="page"/>
      </w:r>
    </w:p>
    <w:p>
      <w:pPr>
        <w:pStyle w:val="Heading1"/>
      </w:pPr>
      <w:r>
        <w:t xml:space="preserve">Section 5: Supply Chain &amp; Dependencies</w:t>
      </w:r>
    </w:p>
    <w:p>
      <w:pPr>
        <w:spacing w:after="200"/>
      </w:pPr>
      <w:r>
        <w:t xml:space="preserve">Questions about managing quantum risk across your supply chain.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17. Do you assess the quantum readiness of your suppliers and subcontractors?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Describe vendor assessment processes for cryptographic and quantum readiness.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18. How do you manage cryptographic dependencies from third-party software?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Include processes for tracking and updating cryptographic libraries.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19. Can you provide documentation of cryptographic algorithms used in products/services provided to us?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List formats available (SBOM, cryptographic inventory, attestations).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20. What is your notification process for cryptographic changes or vulnerabilities?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Describe how customers are informed of security updates and algorithm changes.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r>
        <w:br w:type="page"/>
      </w:r>
    </w:p>
    <w:p>
      <w:pPr>
        <w:pStyle w:val="Heading1"/>
      </w:pPr>
      <w:r>
        <w:t xml:space="preserve">Section 6: Compliance &amp; Certifications</w:t>
      </w:r>
    </w:p>
    <w:p>
      <w:pPr>
        <w:spacing w:after="200"/>
      </w:pPr>
      <w:r>
        <w:t xml:space="preserve">Questions about compliance with cryptographic and security standards.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21. What security certifications or attestations do you maintain?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List certifications (ISO 27001, SOC 2, FedRAMP, etc.) and relevant scope.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22. Are you following NIST post-quantum cryptography guidance?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Reference specific NIST publications (FIPS 203, 204, 205, SP 800-208).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23. How do you stay informed about emerging quantum security regulations?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Describe monitoring processes for regulatory changes affecting cryptography.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  <w:sz w:val="22"/>
                <w:szCs w:val="22"/>
              </w:rPr>
              <w:t xml:space="preserve">24. Are you willing to provide evidence of quantum readiness upon request?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Guidance: </w:t>
            </w:r>
            <w:r>
              <w:rPr>
                <w:color w:val="666666"/>
                <w:sz w:val="18"/>
                <w:szCs w:val="18"/>
              </w:rPr>
              <w:t xml:space="preserve">Indicate willingness to share assessment results, audit reports, or technical documentation.</w:t>
            </w:r>
          </w:p>
          <w:p>
            <w:pPr>
              <w:spacing w:before="100"/>
            </w:pPr>
            <w:r>
              <w:rPr>
                <w:b/>
                <w:bCs/>
                <w:sz w:val="20"/>
                <w:szCs w:val="20"/>
              </w:rPr>
              <w:t xml:space="preserve">Response:</w:t>
            </w:r>
          </w:p>
          <w:p>
            <w:pPr>
              <w:spacing w:before="50" w:after="5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66666"/>
        <w:sz w:val="18"/>
        <w:szCs w:val="18"/>
      </w:rPr>
      <w:t xml:space="preserve"> |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66666"/>
        <w:sz w:val="18"/>
        <w:szCs w:val="18"/>
      </w:rPr>
      <w:t xml:space="preserve">QRAMM Vendor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200"/>
      <w:jc w:val="center"/>
    </w:pPr>
    <w:rPr>
      <w:b/>
      <w:bCs/>
      <w:color w:val="1E3A5F"/>
      <w:sz w:val="48"/>
      <w:szCs w:val="48"/>
    </w:rPr>
  </w:style>
  <w:style w:type="paragraph" w:styleId="Heading1">
    <w:name w:val="Heading 1"/>
    <w:basedOn w:val="Normal"/>
    <w:pPr>
      <w:spacing w:before="300" w:after="150"/>
      <w:outlineLvl w:val="0"/>
    </w:pPr>
    <w:rPr>
      <w:b/>
      <w:bCs/>
      <w:color w:val="1E3A5F"/>
      <w:sz w:val="28"/>
      <w:szCs w:val="28"/>
    </w:rPr>
  </w:style>
  <w:style w:type="paragraph" w:styleId="Heading2">
    <w:name w:val="Heading 2"/>
    <w:basedOn w:val="Normal"/>
    <w:pPr>
      <w:spacing w:before="200" w:after="100"/>
      <w:outlineLvl w:val="1"/>
    </w:pPr>
    <w:rPr>
      <w:b/>
      <w:bCs/>
      <w:color w:val="2D6A8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2025-12-25T08:51:15.071Z</dcterms:created>
  <dcterms:modified xsi:type="dcterms:W3CDTF">2025-12-25T08:51:15.076Z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